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阿坝英才计划2023年公开考核招聘事业单位紧缺专业技术人员</w:t>
      </w:r>
    </w:p>
    <w:p>
      <w:pPr>
        <w:spacing w:before="101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岗位和条件要求一览表</w:t>
      </w:r>
    </w:p>
    <w:tbl>
      <w:tblPr>
        <w:tblStyle w:val="5"/>
        <w:tblW w:w="1431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751"/>
        <w:gridCol w:w="2268"/>
        <w:gridCol w:w="1843"/>
        <w:gridCol w:w="1417"/>
        <w:gridCol w:w="1276"/>
        <w:gridCol w:w="3260"/>
        <w:gridCol w:w="709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954" w:type="dxa"/>
          <w:trHeight w:val="585" w:hRule="atLeast"/>
        </w:trPr>
        <w:tc>
          <w:tcPr>
            <w:tcW w:w="8364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考核招聘岗位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学历类别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招聘名额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snapToGrid w:val="0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急诊科医师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急诊医学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感染科医师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感染病学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儿科医师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本科：临床医学、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儿科学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儿科学、儿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全科医师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全科医学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心血管内科医师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研究生：临床医学、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血管病学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妇产科医师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口腔科医师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本科：口腔医学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重症医学科医师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、重症医学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普外科医师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、外科学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麻醉科医师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本科：临床医学、麻醉学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研究生：临床医学、麻醉学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病理科医师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研究生：临床医学、临床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病理学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消化内科医师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研究生：临床医学、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呼吸内科医师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研究生：临床医学、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皮肤科医师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研究生：临床医学、皮肤病与性病学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骨科医师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、外科学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耳鼻喉科医师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耳鼻咽喉科学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眼科医师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眼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神经外科医师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研究生：临床医学、外科学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心脑电图室医师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卫生类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阿坝州人民医院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疼痛科医师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普通高等教育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学士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本科：临床医学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研究生：临床医学、疼痛医学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2098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1NzJkOWZlNjU2MzkyNmVjYjlkMzdhZjlmZTcyZTkifQ=="/>
  </w:docVars>
  <w:rsids>
    <w:rsidRoot w:val="3FA75EC0"/>
    <w:rsid w:val="3FA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500" w:lineRule="exact"/>
      <w:ind w:firstLine="720" w:firstLineChars="240"/>
    </w:pPr>
    <w:rPr>
      <w:rFonts w:ascii="仿宋_GB2312"/>
      <w:b/>
      <w:sz w:val="30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2023-04-26T03:08:00Z</dcterms:created>
  <dc:creator>木子青争</dc:creator>
  <cp:lastModifiedBy>木子青争</cp:lastModifiedBy>
  <dcterms:modified xsi:type="dcterms:W3CDTF">2023-04-26T03:11:14Z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F0979C9B2807453B9CE1FDA2A8A8E007_11</vt:lpwstr>
  </property>
</Properties>
</file>